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E16F" w14:textId="77777777"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OSWALD MEDICAL CENTRE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2952260F"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4F8AD2E8" w14:textId="77777777"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BC9F6BC"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2E0B45B7" w14:textId="77777777" w:rsidR="00CF37C0" w:rsidRPr="00281B89" w:rsidRDefault="00281B89" w:rsidP="00281B89">
      <w:pPr>
        <w:pStyle w:val="Heading3"/>
        <w:rPr>
          <w:b/>
          <w:bCs/>
          <w:lang w:eastAsia="en-GB"/>
        </w:rPr>
      </w:pPr>
      <w:r w:rsidRPr="00281B89">
        <w:rPr>
          <w:b/>
          <w:bCs/>
          <w:lang w:eastAsia="en-GB"/>
        </w:rPr>
        <w:t>Introduction</w:t>
      </w:r>
    </w:p>
    <w:p w14:paraId="017E58E6" w14:textId="77777777"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672513BE" w14:textId="77777777"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147355F7" w14:textId="77777777"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27B59FED" w14:textId="77777777"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7DC50D9A" w14:textId="77777777"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0BA7CA3B" w14:textId="77777777"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3F05E185" w14:textId="7777777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FA98BF9" w14:textId="77777777"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066BB570" w14:textId="7777777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6D1C4554" w14:textId="7777777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09C97D5" w14:textId="7777777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4279AB02"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50A24378" w14:textId="77777777"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7C0320F7" w14:textId="77777777"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F14A3C9" w14:textId="77777777"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OSWALD MEDICAL CENTRE</w:t>
      </w:r>
      <w:r w:rsidRPr="003A3075">
        <w:rPr>
          <w:rFonts w:asciiTheme="minorHAnsi" w:hAnsiTheme="minorHAnsi" w:cstheme="minorHAnsi"/>
        </w:rPr>
        <w:t>.</w:t>
      </w:r>
    </w:p>
    <w:p w14:paraId="75DC19D4" w14:textId="77777777"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17D7C29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4B51F0C1" w14:textId="77777777" w:rsidR="007C3ABC" w:rsidRDefault="007C3ABC" w:rsidP="00281B89">
      <w:pPr>
        <w:pStyle w:val="Heading3"/>
        <w:rPr>
          <w:b/>
          <w:bCs/>
        </w:rPr>
      </w:pPr>
    </w:p>
    <w:p w14:paraId="218DEF49" w14:textId="77777777" w:rsidR="00871434" w:rsidRPr="00281B89" w:rsidRDefault="00DB02BD" w:rsidP="00281B89">
      <w:pPr>
        <w:pStyle w:val="Heading3"/>
        <w:rPr>
          <w:b/>
          <w:bCs/>
        </w:rPr>
      </w:pPr>
      <w:r w:rsidRPr="00281B89">
        <w:rPr>
          <w:b/>
          <w:bCs/>
        </w:rPr>
        <w:t>How we use your information and the law</w:t>
      </w:r>
    </w:p>
    <w:p w14:paraId="5D218ED2" w14:textId="77777777"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OSWALD MEDICAL CENTRE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B70FD2E" w14:textId="77777777"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68ADC751" w14:textId="77777777"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6DC46722" w14:textId="77777777"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22B57518" w14:textId="77777777" w:rsidR="00B9097C" w:rsidRPr="00B9097C" w:rsidRDefault="00B9097C" w:rsidP="00B9097C">
      <w:pPr>
        <w:spacing w:after="0" w:line="240" w:lineRule="auto"/>
        <w:rPr>
          <w:rFonts w:asciiTheme="minorHAnsi" w:hAnsiTheme="minorHAnsi" w:cstheme="minorHAnsi"/>
        </w:rPr>
      </w:pPr>
    </w:p>
    <w:p w14:paraId="2659E95F" w14:textId="77777777"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625A9835" w14:textId="77777777" w:rsidR="00CF2E6C" w:rsidRDefault="00CF2E6C" w:rsidP="00B9097C">
      <w:pPr>
        <w:spacing w:after="0" w:line="240" w:lineRule="auto"/>
        <w:rPr>
          <w:rFonts w:asciiTheme="minorHAnsi" w:hAnsiTheme="minorHAnsi" w:cstheme="minorHAnsi"/>
        </w:rPr>
      </w:pPr>
    </w:p>
    <w:p w14:paraId="488E1A05" w14:textId="77777777"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0E8919D2" w14:textId="77777777" w:rsidR="00B9097C" w:rsidRPr="00B9097C" w:rsidRDefault="00B9097C" w:rsidP="00B9097C">
      <w:pPr>
        <w:spacing w:after="0" w:line="240" w:lineRule="auto"/>
        <w:rPr>
          <w:rFonts w:asciiTheme="minorHAnsi" w:hAnsiTheme="minorHAnsi" w:cstheme="minorHAnsi"/>
        </w:rPr>
      </w:pPr>
    </w:p>
    <w:p w14:paraId="3CB04543"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15DE91D" w14:textId="77777777" w:rsidR="006275E6" w:rsidRDefault="006275E6" w:rsidP="00B9097C">
      <w:pPr>
        <w:spacing w:after="0" w:line="240" w:lineRule="auto"/>
        <w:rPr>
          <w:rFonts w:asciiTheme="minorHAnsi" w:hAnsiTheme="minorHAnsi" w:cstheme="minorHAnsi"/>
        </w:rPr>
      </w:pPr>
    </w:p>
    <w:p w14:paraId="1AC4EC35" w14:textId="77777777"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0FA66B99" w14:textId="77777777" w:rsidR="00007350" w:rsidRDefault="00007350" w:rsidP="00B9097C">
      <w:pPr>
        <w:spacing w:after="0" w:line="240" w:lineRule="auto"/>
        <w:rPr>
          <w:rFonts w:asciiTheme="minorHAnsi" w:hAnsiTheme="minorHAnsi" w:cstheme="minorHAnsi"/>
        </w:rPr>
      </w:pPr>
    </w:p>
    <w:p w14:paraId="7E7A84DA" w14:textId="77777777"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Stephanie Driver 296 UNION ROAD, OSWALDTWISTLE, ACCRINGTON, LANCASHIRE  BB5 3JB</w:t>
      </w:r>
    </w:p>
    <w:p w14:paraId="3D4788D8" w14:textId="77777777" w:rsidR="00BF0067" w:rsidRPr="00B9097C" w:rsidRDefault="00BF0067" w:rsidP="00B9097C">
      <w:pPr>
        <w:spacing w:after="0" w:line="240" w:lineRule="auto"/>
        <w:rPr>
          <w:rFonts w:asciiTheme="minorHAnsi" w:hAnsiTheme="minorHAnsi" w:cstheme="minorHAnsi"/>
        </w:rPr>
      </w:pPr>
    </w:p>
    <w:p w14:paraId="7C59A4CD" w14:textId="77777777"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OSWALD MEDICAL CENTRE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614409D" w14:textId="7777777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21FF8F7E" w14:textId="77777777"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6430A10C" w14:textId="77777777" w:rsidR="00414D6B" w:rsidRDefault="00414D6B" w:rsidP="00B9097C">
      <w:pPr>
        <w:spacing w:after="0" w:line="240" w:lineRule="auto"/>
        <w:rPr>
          <w:rFonts w:asciiTheme="minorHAnsi" w:hAnsiTheme="minorHAnsi" w:cstheme="minorHAnsi"/>
          <w:b/>
          <w:bCs/>
        </w:rPr>
      </w:pPr>
    </w:p>
    <w:p w14:paraId="389F461E" w14:textId="77777777"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5151B0EF" w14:textId="77777777" w:rsidR="00B9097C" w:rsidRDefault="00B9097C" w:rsidP="00B9097C">
      <w:pPr>
        <w:spacing w:after="0" w:line="240" w:lineRule="auto"/>
        <w:rPr>
          <w:rFonts w:asciiTheme="minorHAnsi" w:hAnsiTheme="minorHAnsi" w:cstheme="minorHAnsi"/>
        </w:rPr>
      </w:pPr>
    </w:p>
    <w:p w14:paraId="45FD97F7" w14:textId="77777777"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2CBBC216" w14:textId="77777777" w:rsidR="006508ED" w:rsidRDefault="006508ED" w:rsidP="00B9097C">
      <w:pPr>
        <w:spacing w:after="0" w:line="240" w:lineRule="auto"/>
        <w:rPr>
          <w:rFonts w:asciiTheme="minorHAnsi" w:hAnsiTheme="minorHAnsi" w:cstheme="minorHAnsi"/>
        </w:rPr>
      </w:pPr>
    </w:p>
    <w:p w14:paraId="3A119A4A" w14:textId="77777777"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5058C99F" w14:textId="77777777" w:rsidR="00B9097C" w:rsidRPr="00747887" w:rsidRDefault="00B9097C" w:rsidP="00B9097C">
      <w:pPr>
        <w:spacing w:after="0" w:line="240" w:lineRule="auto"/>
        <w:rPr>
          <w:rFonts w:asciiTheme="minorHAnsi" w:hAnsiTheme="minorHAnsi" w:cstheme="minorHAnsi"/>
          <w:b/>
          <w:bCs/>
        </w:rPr>
      </w:pPr>
    </w:p>
    <w:p w14:paraId="793BB033" w14:textId="77777777"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01E393C2" w14:textId="77777777"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12A83D71"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5B49C1DD" w14:textId="77777777"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9F1367" w14:textId="77777777"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6CB82145" w14:textId="77777777"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6EE13F83" w14:textId="77777777"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524E70B6" w14:textId="77777777"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2646D427" w14:textId="77777777"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0645B470" w14:textId="7777777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3B27DF1D" w14:textId="77777777"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3A73EBF" w14:textId="77777777"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421EC562" w14:textId="77777777"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31870995" w14:textId="77777777"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4876FD3" w14:textId="77777777"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 xml:space="preserve">e) processing is necessary for the performance of a task carried out in the public </w:t>
      </w:r>
      <w:r w:rsidRPr="003A3075">
        <w:rPr>
          <w:rFonts w:asciiTheme="minorHAnsi" w:hAnsiTheme="minorHAnsi" w:cstheme="minorHAnsi"/>
          <w:i/>
        </w:rPr>
        <w:lastRenderedPageBreak/>
        <w:t>interest or in the exercise of official authority vested in the controller</w:t>
      </w:r>
      <w:r w:rsidR="009D03AA">
        <w:rPr>
          <w:rFonts w:asciiTheme="minorHAnsi" w:hAnsiTheme="minorHAnsi" w:cstheme="minorHAnsi"/>
          <w:i/>
        </w:rPr>
        <w:t>.</w:t>
      </w:r>
    </w:p>
    <w:p w14:paraId="7AD9AB32" w14:textId="77777777"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0B898A30" w14:textId="77777777"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36871201" w14:textId="77777777" w:rsidR="00496356" w:rsidRPr="00496356" w:rsidRDefault="003A3C73" w:rsidP="00496356">
      <w:pPr>
        <w:pStyle w:val="Heading3"/>
        <w:rPr>
          <w:b/>
          <w:bCs/>
        </w:rPr>
      </w:pPr>
      <w:r w:rsidRPr="00496356">
        <w:rPr>
          <w:b/>
          <w:bCs/>
        </w:rPr>
        <w:t xml:space="preserve">Risk Stratification  </w:t>
      </w:r>
    </w:p>
    <w:p w14:paraId="76CA7D89" w14:textId="77777777"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13EF46B" w14:textId="77777777"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77338C40" w14:textId="77777777" w:rsidR="00375DD1" w:rsidRPr="003A3075" w:rsidRDefault="00375DD1" w:rsidP="003C5E88">
      <w:pPr>
        <w:widowControl w:val="0"/>
        <w:rPr>
          <w:rFonts w:asciiTheme="minorHAnsi" w:hAnsiTheme="minorHAnsi" w:cstheme="minorHAnsi"/>
        </w:rPr>
      </w:pPr>
      <w:r w:rsidRPr="00760416">
        <w:rPr>
          <w:rFonts w:asciiTheme="minorHAnsi" w:hAnsiTheme="minorHAnsi" w:cstheme="minorHAnsi"/>
        </w:rPr>
        <w:t>Our data processor for Risk Stratification is:</w:t>
      </w:r>
      <w:r w:rsidR="00760416" w:rsidRPr="00760416">
        <w:rPr>
          <w:rFonts w:asciiTheme="minorHAnsi" w:hAnsiTheme="minorHAnsi" w:cstheme="minorHAnsi"/>
        </w:rPr>
        <w:t xml:space="preserve"> Stephanie Driver – Practice Manager</w:t>
      </w:r>
      <w:r w:rsidRPr="00760416">
        <w:rPr>
          <w:rFonts w:asciiTheme="minorHAnsi" w:hAnsiTheme="minorHAnsi" w:cstheme="minorHAnsi"/>
        </w:rPr>
        <w:t xml:space="preserve"> </w:t>
      </w:r>
    </w:p>
    <w:p w14:paraId="0F987C39" w14:textId="77777777"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67E24BAE" w14:textId="7777777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6F7E3C28" w14:textId="77777777" w:rsidR="006528FD" w:rsidRPr="00C30E35" w:rsidRDefault="006528FD" w:rsidP="00871434">
      <w:pPr>
        <w:pStyle w:val="Heading3"/>
        <w:rPr>
          <w:b/>
          <w:bCs/>
        </w:rPr>
      </w:pPr>
      <w:r w:rsidRPr="00C30E35">
        <w:rPr>
          <w:b/>
          <w:bCs/>
        </w:rPr>
        <w:t>Patient Communication</w:t>
      </w:r>
    </w:p>
    <w:p w14:paraId="58D6C497" w14:textId="77777777"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240AAA6" w14:textId="77777777" w:rsidR="008A351A" w:rsidRPr="00C30E35" w:rsidRDefault="008A351A" w:rsidP="004516D9">
      <w:pPr>
        <w:pStyle w:val="Heading3"/>
        <w:spacing w:before="0"/>
        <w:rPr>
          <w:b/>
          <w:bCs/>
        </w:rPr>
      </w:pPr>
      <w:r w:rsidRPr="00C30E35">
        <w:rPr>
          <w:b/>
          <w:bCs/>
        </w:rPr>
        <w:t>Safeguarding</w:t>
      </w:r>
    </w:p>
    <w:p w14:paraId="45DF7B52" w14:textId="77777777"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298ACA8A" w14:textId="77777777"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lastRenderedPageBreak/>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4C88CA20" w14:textId="7777777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36BF1E18" w14:textId="77777777"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CF24AD8" w14:textId="77777777"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62E2F49"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44D8F629" w14:textId="77777777"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52685949"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08362FEC" w14:textId="77777777"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21D92184"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1E781F2" w14:textId="77777777"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4970F535"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0D7BD95C" w14:textId="7777777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634E4F80" w14:textId="77777777" w:rsidR="00F134B6" w:rsidRDefault="00000000"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E4CBA5D" w14:textId="77777777"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70966BF5"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55B87E9A" w14:textId="77777777"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21DDC9AA" w14:textId="77777777"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548E51ED" w14:textId="77777777"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14:paraId="72E9E2C3" w14:textId="77777777"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11AD41BD"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w:t>
      </w:r>
      <w:r w:rsidRPr="00A6189B">
        <w:rPr>
          <w:rFonts w:asciiTheme="minorHAnsi" w:hAnsiTheme="minorHAnsi" w:cstheme="minorHAnsi"/>
          <w:sz w:val="22"/>
          <w:szCs w:val="22"/>
        </w:rPr>
        <w:lastRenderedPageBreak/>
        <w:t xml:space="preserve">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3EBF9C8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57E552C4"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13A513F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3EFC3171"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6C018ACC"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1236B0A5"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57235938"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0222AACA"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06FEBB03" w14:textId="77777777"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75591B56" w14:textId="77777777"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 xml:space="preserve">1 </w:t>
      </w:r>
      <w:r w:rsidR="00B224CC">
        <w:rPr>
          <w:rFonts w:asciiTheme="minorHAnsi" w:eastAsia="Times New Roman" w:hAnsiTheme="minorHAnsi" w:cstheme="minorHAnsi"/>
          <w:b/>
          <w:bCs/>
          <w:u w:val="single"/>
          <w:lang w:eastAsia="en-GB"/>
        </w:rPr>
        <w:t xml:space="preserve">September </w:t>
      </w:r>
      <w:r w:rsidRPr="000D6BD0">
        <w:rPr>
          <w:rFonts w:asciiTheme="minorHAnsi" w:eastAsia="Times New Roman" w:hAnsiTheme="minorHAnsi" w:cstheme="minorHAnsi"/>
          <w:b/>
          <w:bCs/>
          <w:u w:val="single"/>
          <w:lang w:eastAsia="en-GB"/>
        </w:rPr>
        <w:t>2021</w:t>
      </w:r>
      <w:r w:rsidRPr="000D6BD0">
        <w:rPr>
          <w:rFonts w:asciiTheme="minorHAnsi" w:eastAsia="Times New Roman" w:hAnsiTheme="minorHAnsi" w:cstheme="minorHAnsi"/>
          <w:lang w:eastAsia="en-GB"/>
        </w:rPr>
        <w:t>. Data may be shared from the GP medical records about:</w:t>
      </w:r>
    </w:p>
    <w:p w14:paraId="767A9A61" w14:textId="7777777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58817EBC" w14:textId="7777777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7AE7EA1B" w14:textId="77777777"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2E0CF8A8"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NHS Digital will be able to use the same software to convert the unique codes back to data that could directly identify you in certain circumstances, and where there is a valid legal reason. Only NHS Digital has the ability to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42AC1FC5" w14:textId="77777777"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04BA121" w14:textId="77777777" w:rsidR="000F3733" w:rsidRPr="000F3733" w:rsidRDefault="000F3733" w:rsidP="000F3733">
      <w:pPr>
        <w:pStyle w:val="Heading3"/>
      </w:pPr>
      <w:r w:rsidRPr="000F3733">
        <w:rPr>
          <w:rStyle w:val="Strong"/>
        </w:rPr>
        <w:lastRenderedPageBreak/>
        <w:t>Opting Out</w:t>
      </w:r>
    </w:p>
    <w:p w14:paraId="507163A7" w14:textId="77777777"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2908D064" w14:textId="77777777"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522F542F"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7CBD7054"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0A8B3DE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 xml:space="preserve">by </w:t>
      </w:r>
      <w:r w:rsidR="003B49A7">
        <w:rPr>
          <w:rStyle w:val="Strong"/>
          <w:rFonts w:asciiTheme="minorHAnsi" w:eastAsia="Calibri" w:hAnsiTheme="minorHAnsi" w:cstheme="minorHAnsi"/>
          <w:sz w:val="22"/>
          <w:szCs w:val="22"/>
        </w:rPr>
        <w:t xml:space="preserve">1 September </w:t>
      </w:r>
      <w:r w:rsidRPr="006A2BBD">
        <w:rPr>
          <w:rStyle w:val="Strong"/>
          <w:rFonts w:asciiTheme="minorHAnsi" w:eastAsia="Calibri" w:hAnsiTheme="minorHAnsi" w:cstheme="minorHAnsi"/>
          <w:sz w:val="22"/>
          <w:szCs w:val="22"/>
        </w:rPr>
        <w:t>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1AD1A1DB"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773AFC1D" w14:textId="77777777"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2CE6CF29" w14:textId="77777777" w:rsidR="0099645C" w:rsidRDefault="003D6302" w:rsidP="003D6302">
      <w:pPr>
        <w:pStyle w:val="Heading3"/>
        <w:rPr>
          <w:b/>
          <w:bCs/>
        </w:rPr>
      </w:pPr>
      <w:r w:rsidRPr="003D6302">
        <w:rPr>
          <w:b/>
          <w:bCs/>
        </w:rPr>
        <w:t>National Data Opt-Out</w:t>
      </w:r>
    </w:p>
    <w:p w14:paraId="2DA61DA7"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58CC6DA0" w14:textId="7777777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35968AC9" w14:textId="77777777"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lastRenderedPageBreak/>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6B571DEE" w14:textId="77777777" w:rsidR="00647447" w:rsidRDefault="00F03FBA" w:rsidP="00F03FBA">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sidR="0012218A">
        <w:rPr>
          <w:rFonts w:asciiTheme="minorHAnsi" w:hAnsiTheme="minorHAnsi" w:cstheme="minorHAnsi"/>
          <w:b/>
          <w:bCs/>
          <w:sz w:val="22"/>
          <w:szCs w:val="22"/>
        </w:rPr>
        <w:t xml:space="preserve">  </w:t>
      </w:r>
    </w:p>
    <w:p w14:paraId="0824164C" w14:textId="77777777" w:rsidR="00F03FBA" w:rsidRPr="00647447" w:rsidRDefault="0012218A" w:rsidP="00F03FBA">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You can also set you</w:t>
      </w:r>
      <w:r w:rsidR="00647447" w:rsidRPr="00647447">
        <w:rPr>
          <w:rFonts w:asciiTheme="minorHAnsi" w:hAnsiTheme="minorHAnsi" w:cstheme="minorHAnsi"/>
          <w:sz w:val="22"/>
          <w:szCs w:val="22"/>
        </w:rPr>
        <w:t>r opt-out preferences</w:t>
      </w:r>
      <w:r w:rsidRPr="00647447">
        <w:rPr>
          <w:rFonts w:asciiTheme="minorHAnsi" w:hAnsiTheme="minorHAnsi" w:cstheme="minorHAnsi"/>
          <w:sz w:val="22"/>
          <w:szCs w:val="22"/>
        </w:rPr>
        <w:t xml:space="preserve"> via the NHS App</w:t>
      </w:r>
      <w:r w:rsidR="00647447" w:rsidRPr="00647447">
        <w:rPr>
          <w:rFonts w:asciiTheme="minorHAnsi" w:hAnsiTheme="minorHAnsi" w:cstheme="minorHAnsi"/>
          <w:sz w:val="22"/>
          <w:szCs w:val="22"/>
        </w:rPr>
        <w:t xml:space="preserve"> if you are registered to use this application.</w:t>
      </w:r>
    </w:p>
    <w:p w14:paraId="6B780533" w14:textId="77777777"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66C5A14" w14:textId="77777777"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35C8A87A" w14:textId="77777777"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6DF429DB" w14:textId="77777777"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4AF6B915" w14:textId="77777777"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762744A6" w14:textId="77777777"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B819554" w14:textId="77777777"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154AAFA1"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6D406D7B"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5BB4F826" w14:textId="77777777"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48A0BC5F" w14:textId="77777777" w:rsidR="00EB6BAA" w:rsidRPr="00281B89" w:rsidRDefault="000104B3" w:rsidP="00281B89">
      <w:pPr>
        <w:pStyle w:val="Heading3"/>
        <w:rPr>
          <w:rStyle w:val="Emphasis"/>
          <w:b/>
          <w:bCs/>
          <w:i w:val="0"/>
          <w:iCs w:val="0"/>
        </w:rPr>
      </w:pPr>
      <w:r w:rsidRPr="00281B89">
        <w:rPr>
          <w:rStyle w:val="Emphasis"/>
          <w:b/>
          <w:bCs/>
          <w:i w:val="0"/>
          <w:iCs w:val="0"/>
        </w:rPr>
        <w:lastRenderedPageBreak/>
        <w:t>Third party processors</w:t>
      </w:r>
    </w:p>
    <w:p w14:paraId="596757EF" w14:textId="77777777"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6CA55A57"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1E87B8B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7C6EB52"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053E9FA1" w14:textId="77777777"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4E7E9A1C" w14:textId="77777777" w:rsidR="00A200C1" w:rsidRPr="00281B89" w:rsidRDefault="00A200C1" w:rsidP="00281B89">
      <w:pPr>
        <w:pStyle w:val="Heading3"/>
        <w:rPr>
          <w:b/>
          <w:bCs/>
        </w:rPr>
      </w:pPr>
      <w:r w:rsidRPr="00281B89">
        <w:rPr>
          <w:b/>
          <w:bCs/>
        </w:rPr>
        <w:t xml:space="preserve">How we maintain the confidentiality of your records </w:t>
      </w:r>
    </w:p>
    <w:p w14:paraId="69EB0DF8"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7983CF36" w14:textId="77777777"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50B14EF1" w14:textId="77777777"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3D2E4500"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3319D57C"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011FD0A4"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3C93C7D8"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0C668004"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5349D086" w14:textId="77777777" w:rsidR="00A200C1" w:rsidRPr="003A3075" w:rsidRDefault="00A200C1" w:rsidP="00D84049">
      <w:pPr>
        <w:widowControl w:val="0"/>
        <w:spacing w:after="0" w:line="240" w:lineRule="auto"/>
        <w:rPr>
          <w:rFonts w:asciiTheme="minorHAnsi" w:hAnsiTheme="minorHAnsi" w:cstheme="minorHAnsi"/>
        </w:rPr>
      </w:pPr>
    </w:p>
    <w:p w14:paraId="51D191ED"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6FD8047E" w14:textId="77777777"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4D3135FB" w14:textId="77777777"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73F0C0B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761E00D9" w14:textId="77777777"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lastRenderedPageBreak/>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OSWALD MEDICAL CENTRE</w:t>
      </w:r>
      <w:r w:rsidR="009A2DD7" w:rsidRPr="003A3075">
        <w:rPr>
          <w:rFonts w:asciiTheme="minorHAnsi" w:hAnsiTheme="minorHAnsi" w:cstheme="minorHAnsi"/>
        </w:rPr>
        <w:t xml:space="preserve"> an appropriate contract will be established for the processing of your information.</w:t>
      </w:r>
    </w:p>
    <w:p w14:paraId="7813730C"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1D319B0F" w14:textId="77777777"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Stephanie Driver</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13164021" w14:textId="77777777"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57A6F5DF" w14:textId="77777777" w:rsidR="0020197A" w:rsidRPr="00281B89" w:rsidRDefault="0020197A" w:rsidP="00281B89">
      <w:pPr>
        <w:pStyle w:val="Heading3"/>
        <w:rPr>
          <w:b/>
          <w:bCs/>
        </w:rPr>
      </w:pPr>
      <w:r w:rsidRPr="00281B89">
        <w:rPr>
          <w:b/>
          <w:bCs/>
        </w:rPr>
        <w:t xml:space="preserve">With your consent we would also like to use your information </w:t>
      </w:r>
    </w:p>
    <w:p w14:paraId="3B335B95" w14:textId="77777777"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C4D285D" w14:textId="77777777"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77124B54" w14:textId="77777777"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13E0C3AA"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30BF04D6" w14:textId="77777777" w:rsidR="003F550D" w:rsidRPr="00760416"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w:t>
      </w:r>
      <w:r w:rsidRPr="00760416">
        <w:rPr>
          <w:rFonts w:asciiTheme="minorHAnsi" w:hAnsiTheme="minorHAnsi" w:cstheme="minorHAnsi"/>
        </w:rPr>
        <w:t xml:space="preserve">or special category data. </w:t>
      </w:r>
    </w:p>
    <w:p w14:paraId="2B294270" w14:textId="77777777" w:rsidR="002014AE" w:rsidRPr="003A6994" w:rsidRDefault="000104B3" w:rsidP="003A6994">
      <w:pPr>
        <w:widowControl w:val="0"/>
        <w:spacing w:after="280"/>
        <w:rPr>
          <w:rFonts w:asciiTheme="minorHAnsi" w:hAnsiTheme="minorHAnsi" w:cstheme="minorHAnsi"/>
          <w:b/>
          <w:bCs/>
        </w:rPr>
      </w:pPr>
      <w:r w:rsidRPr="00760416">
        <w:rPr>
          <w:rFonts w:asciiTheme="minorHAnsi" w:hAnsiTheme="minorHAnsi" w:cstheme="minorHAnsi"/>
          <w:b/>
          <w:bCs/>
        </w:rPr>
        <w:t>EMIS Web</w:t>
      </w:r>
      <w:r w:rsidR="003A3075" w:rsidRPr="003A3075">
        <w:rPr>
          <w:rFonts w:asciiTheme="minorHAnsi" w:hAnsiTheme="minorHAnsi" w:cstheme="minorHAnsi"/>
          <w:b/>
          <w:bCs/>
        </w:rPr>
        <w:t xml:space="preserve"> </w:t>
      </w:r>
    </w:p>
    <w:p w14:paraId="68E67B1B" w14:textId="7777777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D0DB264"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4181A2A2" w14:textId="77777777"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 xml:space="preserve">there will be no change to the control of access to your data and the hosted service provider will not have any access to the decryption keys. AWS is one of the world’s largest cloud </w:t>
      </w:r>
      <w:r w:rsidRPr="003A3075">
        <w:rPr>
          <w:rFonts w:asciiTheme="minorHAnsi" w:hAnsiTheme="minorHAnsi" w:cstheme="minorHAnsi"/>
          <w:sz w:val="22"/>
          <w:szCs w:val="22"/>
        </w:rPr>
        <w:lastRenderedPageBreak/>
        <w:t>companies, already supporting numerous public sector clients (including the NHS), and it offers the very highest levels of security and support.</w:t>
      </w:r>
    </w:p>
    <w:p w14:paraId="254907E1" w14:textId="77777777"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7DC01335" w14:textId="77777777"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4CADDB9A" w14:textId="77777777"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4CE8CD2" w14:textId="77777777"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42FD2104" w14:textId="77777777"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03E8704C" w14:textId="77777777"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0728BEEC" w14:textId="77777777"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413116C3"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3430511"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0D2628EF"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0BFCFE71"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03B9EF93"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0F288890"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10BAB98"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7C2B14C"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63188A99" w14:textId="77777777"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3F89EF31"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29A9FBF3"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79336840"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44334A53"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7EB71B5B" w14:textId="77777777"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51A15DA8"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3692C994" w14:textId="77777777"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384BFA8C" w14:textId="77777777"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55D7A726" w14:textId="77777777"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4D3431EC" w14:textId="77777777"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666C11C2" w14:textId="77777777" w:rsidR="008A351A" w:rsidRPr="005F1B00" w:rsidRDefault="008A351A" w:rsidP="005F1B00">
      <w:pPr>
        <w:pStyle w:val="Heading3"/>
        <w:rPr>
          <w:b/>
          <w:bCs/>
        </w:rPr>
      </w:pPr>
      <w:r w:rsidRPr="005F1B00">
        <w:rPr>
          <w:b/>
          <w:bCs/>
        </w:rPr>
        <w:t>Shared Care Records</w:t>
      </w:r>
    </w:p>
    <w:p w14:paraId="5AF23650" w14:textId="77777777"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191A780D" w14:textId="7777777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OSWALD MEDICAL CENTRE</w:t>
      </w:r>
      <w:r w:rsidR="00A87B6C" w:rsidRPr="003A3075">
        <w:rPr>
          <w:rFonts w:asciiTheme="minorHAnsi" w:hAnsiTheme="minorHAnsi" w:cstheme="minorHAnsi"/>
        </w:rPr>
        <w:t xml:space="preserve"> an appropriate contract will be established for the processing of your information.</w:t>
      </w:r>
    </w:p>
    <w:p w14:paraId="277C4E29" w14:textId="77777777"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66CF40A7" w14:textId="77777777" w:rsidR="008A351A" w:rsidRPr="008616A9" w:rsidRDefault="008A351A" w:rsidP="008616A9">
      <w:pPr>
        <w:pStyle w:val="Heading3"/>
        <w:rPr>
          <w:b/>
          <w:bCs/>
        </w:rPr>
      </w:pPr>
      <w:r w:rsidRPr="008616A9">
        <w:rPr>
          <w:b/>
          <w:bCs/>
        </w:rPr>
        <w:lastRenderedPageBreak/>
        <w:t>Sharing your information without consent</w:t>
      </w:r>
    </w:p>
    <w:p w14:paraId="37F024A1"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12BA05CA" w14:textId="77777777"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057CCCEF" w14:textId="7777777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1FCEA94B" w14:textId="77777777"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56416C20" w14:textId="77777777"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26DDE536" w14:textId="77777777"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29AF1D70" w14:textId="77777777"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3E091CD7" w14:textId="77777777"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7EA4450F" w14:textId="77777777"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7EFA524C"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64342591" w14:textId="77777777"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3F922489" w14:textId="77777777" w:rsidR="009B59F9" w:rsidRDefault="00000000"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64907515" w14:textId="77777777" w:rsidR="00F10B7F" w:rsidRPr="008616A9" w:rsidRDefault="00F10B7F" w:rsidP="008616A9">
      <w:pPr>
        <w:pStyle w:val="Heading3"/>
        <w:rPr>
          <w:b/>
          <w:bCs/>
        </w:rPr>
      </w:pPr>
      <w:r w:rsidRPr="008616A9">
        <w:rPr>
          <w:b/>
          <w:bCs/>
        </w:rPr>
        <w:t>Destruction</w:t>
      </w:r>
    </w:p>
    <w:p w14:paraId="14E89440" w14:textId="77777777"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398C2B20" w14:textId="77777777"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760416">
        <w:rPr>
          <w:rFonts w:asciiTheme="minorHAnsi" w:hAnsiTheme="minorHAnsi" w:cstheme="minorHAnsi"/>
        </w:rPr>
        <w:t>Shred-IT</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515F363A" w14:textId="77777777"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4CB03379" w14:textId="77777777" w:rsidR="006B45AE" w:rsidRPr="008616A9" w:rsidRDefault="006B45AE" w:rsidP="008616A9">
      <w:pPr>
        <w:pStyle w:val="Heading3"/>
        <w:rPr>
          <w:b/>
          <w:bCs/>
        </w:rPr>
      </w:pPr>
      <w:r w:rsidRPr="008616A9">
        <w:rPr>
          <w:b/>
          <w:bCs/>
        </w:rPr>
        <w:t>Primary Care Network</w:t>
      </w:r>
      <w:r w:rsidR="00EC14BA" w:rsidRPr="008616A9">
        <w:rPr>
          <w:b/>
          <w:bCs/>
        </w:rPr>
        <w:t>s</w:t>
      </w:r>
    </w:p>
    <w:p w14:paraId="1EB39215" w14:textId="77777777"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69F80366" w14:textId="77777777"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6AA73CBD"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2CD212F3"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122DCA86" w14:textId="77777777"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01BF2CC8" w14:textId="77777777" w:rsidR="00C9447D" w:rsidRDefault="00C9447D" w:rsidP="00C14EAF">
      <w:pPr>
        <w:pStyle w:val="selectionshareable"/>
        <w:spacing w:before="0" w:beforeAutospacing="0" w:after="0" w:afterAutospacing="0"/>
        <w:rPr>
          <w:rFonts w:asciiTheme="minorHAnsi" w:hAnsiTheme="minorHAnsi" w:cstheme="minorHAnsi"/>
          <w:sz w:val="22"/>
          <w:szCs w:val="22"/>
        </w:rPr>
      </w:pPr>
    </w:p>
    <w:p w14:paraId="1E25ADAE" w14:textId="77777777"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OSWALD MEDICAL CENTRE is a member of the </w:t>
      </w:r>
      <w:r w:rsidR="00760416">
        <w:rPr>
          <w:rFonts w:asciiTheme="minorHAnsi" w:hAnsiTheme="minorHAnsi" w:cstheme="minorHAnsi"/>
          <w:sz w:val="22"/>
          <w:szCs w:val="22"/>
        </w:rPr>
        <w:t xml:space="preserve">Hyndburn Central Primary Care Network, </w:t>
      </w:r>
      <w:r>
        <w:rPr>
          <w:rFonts w:asciiTheme="minorHAnsi" w:hAnsiTheme="minorHAnsi" w:cstheme="minorHAnsi"/>
          <w:sz w:val="22"/>
          <w:szCs w:val="22"/>
        </w:rPr>
        <w:t xml:space="preserve"> which includes the following</w:t>
      </w:r>
      <w:r w:rsidR="00930987">
        <w:rPr>
          <w:rFonts w:asciiTheme="minorHAnsi" w:hAnsiTheme="minorHAnsi" w:cstheme="minorHAnsi"/>
          <w:sz w:val="22"/>
          <w:szCs w:val="22"/>
        </w:rPr>
        <w:t>local GP Practices:</w:t>
      </w:r>
    </w:p>
    <w:p w14:paraId="2684A875" w14:textId="77777777" w:rsidR="00930987" w:rsidRDefault="00930987" w:rsidP="00C14EAF">
      <w:pPr>
        <w:pStyle w:val="selectionshareable"/>
        <w:spacing w:before="0" w:beforeAutospacing="0" w:after="0" w:afterAutospacing="0"/>
        <w:rPr>
          <w:rFonts w:asciiTheme="minorHAnsi" w:hAnsiTheme="minorHAnsi" w:cstheme="minorHAnsi"/>
          <w:sz w:val="22"/>
          <w:szCs w:val="22"/>
        </w:rPr>
      </w:pPr>
    </w:p>
    <w:p w14:paraId="4A3F5C7B" w14:textId="77777777" w:rsidR="00930987" w:rsidRDefault="00760416"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Peel House Medical Practice</w:t>
      </w:r>
    </w:p>
    <w:p w14:paraId="7BCBBB90" w14:textId="77777777" w:rsidR="00760416" w:rsidRDefault="00760416"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Accrington Victoria PWE</w:t>
      </w:r>
    </w:p>
    <w:p w14:paraId="51E77E32" w14:textId="77777777" w:rsidR="00760416" w:rsidRDefault="00760416"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Richmond Medical </w:t>
      </w:r>
    </w:p>
    <w:p w14:paraId="38E119CF" w14:textId="77777777" w:rsidR="00760416" w:rsidRDefault="00760416"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Blackburn Road Medical Centre</w:t>
      </w:r>
    </w:p>
    <w:p w14:paraId="2EA7E547"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7A13AEC7" w14:textId="77777777"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60250E43" w14:textId="77777777"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08A117DB" w14:textId="77777777"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71CD52C" w14:textId="77777777"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82ABDB2" w14:textId="77777777"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3ABC1ECB" w14:textId="77777777"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5DF63660" w14:textId="77777777"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4990D88A" w14:textId="77777777"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54D013E7" w14:textId="77777777" w:rsidR="003A3C73" w:rsidRPr="008616A9" w:rsidRDefault="003A3C73" w:rsidP="008616A9">
      <w:pPr>
        <w:pStyle w:val="Heading3"/>
        <w:rPr>
          <w:b/>
          <w:bCs/>
        </w:rPr>
      </w:pPr>
      <w:r w:rsidRPr="008616A9">
        <w:rPr>
          <w:b/>
          <w:bCs/>
        </w:rPr>
        <w:t xml:space="preserve">Objections/Complaints </w:t>
      </w:r>
    </w:p>
    <w:p w14:paraId="4D9862BA" w14:textId="7777777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Stephanie Driver</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6A10634B"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11BE196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44E1402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10664FA4"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400A00A6"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5AC7B160"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39EC9E3F" w14:textId="77777777" w:rsidR="003A3C73" w:rsidRPr="003A3075" w:rsidRDefault="003A3C73" w:rsidP="003A3C73">
      <w:pPr>
        <w:spacing w:after="0" w:line="240" w:lineRule="auto"/>
        <w:rPr>
          <w:rFonts w:asciiTheme="minorHAnsi" w:hAnsiTheme="minorHAnsi" w:cstheme="minorHAnsi"/>
          <w:iCs/>
        </w:rPr>
      </w:pPr>
    </w:p>
    <w:p w14:paraId="457F9FB8"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4C1F1E99" w14:textId="77777777" w:rsidR="003A3C73" w:rsidRPr="003A3075" w:rsidRDefault="00000000"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60E5BBBB" w14:textId="77777777"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lastRenderedPageBreak/>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685FE134" w14:textId="77777777"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414F73CA" w14:textId="77777777"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2019D571" w14:textId="77777777" w:rsidR="001E1D94" w:rsidRDefault="0045187E" w:rsidP="008616A9">
      <w:pPr>
        <w:pStyle w:val="NoSpacing"/>
        <w:shd w:val="clear" w:color="auto" w:fill="FFFFFF" w:themeFill="background1"/>
        <w:rPr>
          <w:b/>
          <w:bCs/>
        </w:rPr>
      </w:pPr>
      <w:r>
        <w:rPr>
          <w:b/>
          <w:bCs/>
        </w:rPr>
        <w:t>Stephanie Driver</w:t>
      </w:r>
    </w:p>
    <w:p w14:paraId="1A1E075A" w14:textId="77777777" w:rsidR="001E1D94" w:rsidRPr="001E1D94" w:rsidRDefault="001E1D94" w:rsidP="008616A9">
      <w:pPr>
        <w:pStyle w:val="NoSpacing"/>
        <w:shd w:val="clear" w:color="auto" w:fill="FFFFFF" w:themeFill="background1"/>
        <w:rPr>
          <w:b/>
          <w:bCs/>
        </w:rPr>
      </w:pPr>
    </w:p>
    <w:p w14:paraId="0D0CBD1F" w14:textId="77777777" w:rsidR="001E1D94" w:rsidRPr="001E1D94" w:rsidRDefault="001E1D94" w:rsidP="008616A9">
      <w:pPr>
        <w:pStyle w:val="NoSpacing"/>
        <w:shd w:val="clear" w:color="auto" w:fill="FFFFFF" w:themeFill="background1"/>
        <w:rPr>
          <w:b/>
          <w:bCs/>
        </w:rPr>
      </w:pPr>
      <w:r w:rsidRPr="001E1D94">
        <w:rPr>
          <w:b/>
          <w:bCs/>
        </w:rPr>
        <w:t>Caldicott Guardian:</w:t>
      </w:r>
    </w:p>
    <w:p w14:paraId="3CC0154B" w14:textId="77777777" w:rsidR="001E1D94" w:rsidRDefault="0064494B" w:rsidP="008616A9">
      <w:pPr>
        <w:pStyle w:val="NoSpacing"/>
        <w:shd w:val="clear" w:color="auto" w:fill="FFFFFF" w:themeFill="background1"/>
        <w:rPr>
          <w:b/>
          <w:bCs/>
        </w:rPr>
      </w:pPr>
      <w:r>
        <w:rPr>
          <w:b/>
          <w:bCs/>
        </w:rPr>
        <w:t>Dr George Manjoorran</w:t>
      </w:r>
    </w:p>
    <w:p w14:paraId="2FFDBF94" w14:textId="77777777" w:rsidR="008616A9" w:rsidRPr="001E1D94" w:rsidRDefault="008616A9" w:rsidP="008616A9">
      <w:pPr>
        <w:pStyle w:val="NoSpacing"/>
        <w:shd w:val="clear" w:color="auto" w:fill="FFFFFF" w:themeFill="background1"/>
        <w:rPr>
          <w:b/>
          <w:bCs/>
        </w:rPr>
      </w:pPr>
    </w:p>
    <w:p w14:paraId="34AB68BC" w14:textId="77777777"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2EDDB137" w14:textId="77777777" w:rsidR="008039D4" w:rsidRDefault="003C7419" w:rsidP="008616A9">
      <w:pPr>
        <w:pStyle w:val="NoSpacing"/>
        <w:shd w:val="clear" w:color="auto" w:fill="FFFFFF" w:themeFill="background1"/>
        <w:rPr>
          <w:b/>
          <w:bCs/>
        </w:rPr>
      </w:pPr>
      <w:r>
        <w:rPr>
          <w:b/>
          <w:bCs/>
        </w:rPr>
        <w:t>Hayley Gidman</w:t>
      </w:r>
    </w:p>
    <w:p w14:paraId="09E4584F" w14:textId="77777777" w:rsidR="008039D4" w:rsidRDefault="008039D4" w:rsidP="001E1D94">
      <w:pPr>
        <w:pStyle w:val="NoSpacing"/>
        <w:rPr>
          <w:b/>
          <w:bCs/>
        </w:rPr>
      </w:pPr>
    </w:p>
    <w:p w14:paraId="181C9390" w14:textId="77777777" w:rsidR="008039D4" w:rsidRPr="00FC5FE9" w:rsidRDefault="008039D4" w:rsidP="00FC5FE9">
      <w:pPr>
        <w:pStyle w:val="Heading3"/>
        <w:rPr>
          <w:b/>
          <w:bCs/>
        </w:rPr>
      </w:pPr>
      <w:r w:rsidRPr="00FC5FE9">
        <w:rPr>
          <w:b/>
          <w:bCs/>
        </w:rPr>
        <w:t>Useful Links</w:t>
      </w:r>
    </w:p>
    <w:p w14:paraId="1B55AC05" w14:textId="77777777" w:rsidR="00E22A15" w:rsidRPr="00E22A15" w:rsidRDefault="00E22A15" w:rsidP="00E22A15">
      <w:r>
        <w:t>Please find below some links to external webpages which you may wish to access to find out additional information:</w:t>
      </w:r>
    </w:p>
    <w:p w14:paraId="40B4F1D7"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78AE9D85"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5DDDDE0B"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239C2709"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38925258"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606DDE25" w14:textId="77777777" w:rsidR="0051184B" w:rsidRPr="00B04988" w:rsidRDefault="00000000"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71F02C05" w14:textId="77777777" w:rsidR="00B04988" w:rsidRPr="00B04988" w:rsidRDefault="00000000"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25D5C251" w14:textId="77777777"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DFA5" w14:textId="77777777" w:rsidR="00351886" w:rsidRDefault="00351886" w:rsidP="00B578E2">
      <w:pPr>
        <w:spacing w:after="0" w:line="240" w:lineRule="auto"/>
      </w:pPr>
      <w:r>
        <w:separator/>
      </w:r>
    </w:p>
  </w:endnote>
  <w:endnote w:type="continuationSeparator" w:id="0">
    <w:p w14:paraId="6853F054" w14:textId="77777777" w:rsidR="00351886" w:rsidRDefault="00351886"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16BB" w14:textId="77777777" w:rsidR="00FE7672" w:rsidRDefault="00C6749C">
    <w:pPr>
      <w:pStyle w:val="Footer"/>
    </w:pPr>
    <w:r>
      <w:t>OSWALD MEDICAL CENTRE</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6062" w14:textId="77777777" w:rsidR="00351886" w:rsidRDefault="00351886" w:rsidP="00B578E2">
      <w:pPr>
        <w:spacing w:after="0" w:line="240" w:lineRule="auto"/>
      </w:pPr>
      <w:r>
        <w:separator/>
      </w:r>
    </w:p>
  </w:footnote>
  <w:footnote w:type="continuationSeparator" w:id="0">
    <w:p w14:paraId="16CDA6B0" w14:textId="77777777" w:rsidR="00351886" w:rsidRDefault="00351886"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18DA" w14:textId="02A34CA8" w:rsidR="00B578E2" w:rsidRDefault="002219A3" w:rsidP="00760416">
    <w:pPr>
      <w:pStyle w:val="Header"/>
      <w:jc w:val="center"/>
    </w:pPr>
    <w:r>
      <w:rPr>
        <w:noProof/>
      </w:rPr>
      <w:drawing>
        <wp:inline distT="0" distB="0" distL="0" distR="0" wp14:anchorId="19DBDDAE" wp14:editId="5A04BBBE">
          <wp:extent cx="3114675" cy="704850"/>
          <wp:effectExtent l="0" t="0" r="9525" b="0"/>
          <wp:docPr id="1" name="Picture 1" descr="Oswald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wald Medical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4997788">
    <w:abstractNumId w:val="19"/>
  </w:num>
  <w:num w:numId="2" w16cid:durableId="2078042827">
    <w:abstractNumId w:val="25"/>
  </w:num>
  <w:num w:numId="3" w16cid:durableId="1528984178">
    <w:abstractNumId w:val="17"/>
  </w:num>
  <w:num w:numId="4" w16cid:durableId="179321415">
    <w:abstractNumId w:val="9"/>
  </w:num>
  <w:num w:numId="5" w16cid:durableId="1778133726">
    <w:abstractNumId w:val="1"/>
  </w:num>
  <w:num w:numId="6" w16cid:durableId="1172794242">
    <w:abstractNumId w:val="26"/>
  </w:num>
  <w:num w:numId="7" w16cid:durableId="783773835">
    <w:abstractNumId w:val="4"/>
  </w:num>
  <w:num w:numId="8" w16cid:durableId="1114984343">
    <w:abstractNumId w:val="2"/>
  </w:num>
  <w:num w:numId="9" w16cid:durableId="1349867835">
    <w:abstractNumId w:val="14"/>
  </w:num>
  <w:num w:numId="10" w16cid:durableId="848106893">
    <w:abstractNumId w:val="0"/>
  </w:num>
  <w:num w:numId="11" w16cid:durableId="774326384">
    <w:abstractNumId w:val="10"/>
  </w:num>
  <w:num w:numId="12" w16cid:durableId="500047734">
    <w:abstractNumId w:val="22"/>
  </w:num>
  <w:num w:numId="13" w16cid:durableId="1934584156">
    <w:abstractNumId w:val="7"/>
  </w:num>
  <w:num w:numId="14" w16cid:durableId="703676485">
    <w:abstractNumId w:val="28"/>
  </w:num>
  <w:num w:numId="15" w16cid:durableId="1021396748">
    <w:abstractNumId w:val="15"/>
  </w:num>
  <w:num w:numId="16" w16cid:durableId="1904876203">
    <w:abstractNumId w:val="21"/>
  </w:num>
  <w:num w:numId="17" w16cid:durableId="395663136">
    <w:abstractNumId w:val="13"/>
  </w:num>
  <w:num w:numId="18" w16cid:durableId="1184052336">
    <w:abstractNumId w:val="29"/>
  </w:num>
  <w:num w:numId="19" w16cid:durableId="101806313">
    <w:abstractNumId w:val="20"/>
  </w:num>
  <w:num w:numId="20" w16cid:durableId="98918968">
    <w:abstractNumId w:val="8"/>
  </w:num>
  <w:num w:numId="21" w16cid:durableId="862935245">
    <w:abstractNumId w:val="6"/>
  </w:num>
  <w:num w:numId="22" w16cid:durableId="1211191873">
    <w:abstractNumId w:val="5"/>
  </w:num>
  <w:num w:numId="23" w16cid:durableId="1541896125">
    <w:abstractNumId w:val="27"/>
  </w:num>
  <w:num w:numId="24" w16cid:durableId="230505091">
    <w:abstractNumId w:val="18"/>
  </w:num>
  <w:num w:numId="25" w16cid:durableId="1842506633">
    <w:abstractNumId w:val="11"/>
  </w:num>
  <w:num w:numId="26" w16cid:durableId="1829133221">
    <w:abstractNumId w:val="16"/>
  </w:num>
  <w:num w:numId="27" w16cid:durableId="647129982">
    <w:abstractNumId w:val="24"/>
  </w:num>
  <w:num w:numId="28" w16cid:durableId="689527165">
    <w:abstractNumId w:val="3"/>
  </w:num>
  <w:num w:numId="29" w16cid:durableId="904948183">
    <w:abstractNumId w:val="23"/>
  </w:num>
  <w:num w:numId="30" w16cid:durableId="12869339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7899"/>
    <w:rsid w:val="000D1380"/>
    <w:rsid w:val="000D6BD0"/>
    <w:rsid w:val="000F2A4A"/>
    <w:rsid w:val="000F3733"/>
    <w:rsid w:val="000F4475"/>
    <w:rsid w:val="000F6AFC"/>
    <w:rsid w:val="000F7FAC"/>
    <w:rsid w:val="00106641"/>
    <w:rsid w:val="001076D5"/>
    <w:rsid w:val="00120E23"/>
    <w:rsid w:val="0012218A"/>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219A3"/>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51886"/>
    <w:rsid w:val="003617F3"/>
    <w:rsid w:val="00370FC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041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B4A50"/>
  <w15:docId w15:val="{6E02071D-748B-4C75-B9FD-08A035A9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2">
    <w:name w:val="Unresolved Mention2"/>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AB99E-93E3-43D6-BFBF-58BCF752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cp:lastPrinted>2019-06-13T09:46:00Z</cp:lastPrinted>
  <dcterms:created xsi:type="dcterms:W3CDTF">2023-10-18T09:01:00Z</dcterms:created>
  <dcterms:modified xsi:type="dcterms:W3CDTF">2023-10-18T09:01:00Z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